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8F" w:rsidRPr="005C3192" w:rsidRDefault="00DA4B92" w:rsidP="009246BD">
      <w:pPr>
        <w:widowControl/>
        <w:spacing w:line="48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Arial" w:hAnsi="Arial" w:cs="Arial"/>
            <w:kern w:val="0"/>
            <w:sz w:val="22"/>
          </w:rPr>
          <w:tag w:val="goog_rdk_2254"/>
          <w:id w:val="-1964725116"/>
        </w:sdtPr>
        <w:sdtEndPr>
          <w:rPr>
            <w:rFonts w:ascii="標楷體" w:eastAsia="標楷體" w:hAnsi="標楷體"/>
          </w:rPr>
        </w:sdtEndPr>
        <w:sdtContent>
          <w:r w:rsidR="0059298F" w:rsidRPr="005C3192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十六、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2256"/>
          <w:id w:val="1057131662"/>
        </w:sdtPr>
        <w:sdtEndPr/>
        <w:sdtContent>
          <w:r w:rsidR="0059298F" w:rsidRPr="005C3192">
            <w:rPr>
              <w:rFonts w:ascii="標楷體" w:eastAsia="標楷體" w:hAnsi="標楷體" w:cs="Gungsuh"/>
              <w:kern w:val="0"/>
              <w:sz w:val="28"/>
              <w:szCs w:val="28"/>
            </w:rPr>
            <w:t>檢驗項目</w:t>
          </w:r>
        </w:sdtContent>
      </w:sdt>
    </w:p>
    <w:bookmarkStart w:id="0" w:name="_GoBack"/>
    <w:bookmarkEnd w:id="0"/>
    <w:p w:rsidR="0059298F" w:rsidRPr="005C3192" w:rsidRDefault="00DA4B92" w:rsidP="009246BD">
      <w:pPr>
        <w:widowControl/>
        <w:spacing w:line="480" w:lineRule="exact"/>
        <w:contextualSpacing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b/>
            <w:kern w:val="0"/>
            <w:sz w:val="22"/>
          </w:rPr>
          <w:tag w:val="goog_rdk_1568"/>
          <w:id w:val="-1151285414"/>
        </w:sdtPr>
        <w:sdtEndPr/>
        <w:sdtContent>
          <w:r w:rsidR="009246BD" w:rsidRPr="005C3192">
            <w:rPr>
              <w:rFonts w:ascii="標楷體" w:eastAsia="標楷體" w:hAnsi="標楷體" w:cs="Arial"/>
              <w:b/>
              <w:kern w:val="0"/>
              <w:sz w:val="28"/>
              <w:szCs w:val="28"/>
            </w:rPr>
            <w:t>110</w:t>
          </w:r>
          <w:r w:rsidR="009246BD" w:rsidRPr="005C3192">
            <w:rPr>
              <w:rFonts w:ascii="標楷體" w:eastAsia="標楷體" w:hAnsi="標楷體" w:cs="Gungsuh" w:hint="eastAsia"/>
              <w:b/>
              <w:kern w:val="0"/>
              <w:sz w:val="28"/>
              <w:szCs w:val="28"/>
            </w:rPr>
            <w:t>年度</w:t>
          </w:r>
        </w:sdtContent>
      </w:sdt>
      <w:r w:rsidR="009246BD" w:rsidRPr="005C3192">
        <w:rPr>
          <w:rFonts w:ascii="標楷體" w:eastAsia="標楷體" w:hAnsi="標楷體" w:cs="Arial" w:hint="eastAsia"/>
          <w:b/>
          <w:kern w:val="0"/>
          <w:sz w:val="28"/>
          <w:szCs w:val="28"/>
        </w:rPr>
        <w:t>雲林</w:t>
      </w:r>
      <w:r w:rsidR="009246BD" w:rsidRPr="005C3192">
        <w:rPr>
          <w:rFonts w:ascii="標楷體" w:eastAsia="標楷體" w:hAnsi="標楷體" w:cs="Gungsuh" w:hint="eastAsia"/>
          <w:b/>
          <w:kern w:val="0"/>
          <w:sz w:val="28"/>
          <w:szCs w:val="28"/>
        </w:rPr>
        <w:t>縣所屬學校</w:t>
      </w:r>
      <w:r w:rsidR="009246BD" w:rsidRPr="005C319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舊庄國小</w:t>
      </w:r>
      <w:r w:rsidR="009246BD" w:rsidRPr="005C3192">
        <w:rPr>
          <w:rFonts w:ascii="標楷體" w:eastAsia="標楷體" w:hAnsi="標楷體" w:cs="Gungsuh" w:hint="eastAsia"/>
          <w:b/>
          <w:kern w:val="0"/>
          <w:sz w:val="28"/>
          <w:szCs w:val="28"/>
        </w:rPr>
        <w:t>設置太陽能光電風雨球場公開標租案</w:t>
      </w:r>
      <w:sdt>
        <w:sdtPr>
          <w:rPr>
            <w:rFonts w:ascii="標楷體" w:eastAsia="標楷體" w:hAnsi="標楷體" w:cs="Arial"/>
            <w:kern w:val="0"/>
            <w:sz w:val="22"/>
          </w:rPr>
          <w:tag w:val="goog_rdk_2258"/>
          <w:id w:val="-641422686"/>
        </w:sdtPr>
        <w:sdtEndPr/>
        <w:sdtContent>
          <w:r w:rsidR="009246BD" w:rsidRPr="005C3192">
            <w:rPr>
              <w:rFonts w:ascii="標楷體" w:eastAsia="標楷體" w:hAnsi="標楷體" w:cs="Arial" w:hint="eastAsia"/>
              <w:kern w:val="0"/>
              <w:sz w:val="22"/>
            </w:rPr>
            <w:t xml:space="preserve">       </w:t>
          </w:r>
          <w:r w:rsidR="0059298F" w:rsidRPr="005C3192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檢驗項目</w:t>
          </w:r>
        </w:sdtContent>
      </w:sdt>
    </w:p>
    <w:tbl>
      <w:tblPr>
        <w:tblW w:w="1105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"/>
        <w:gridCol w:w="549"/>
        <w:gridCol w:w="7401"/>
        <w:gridCol w:w="1324"/>
        <w:gridCol w:w="709"/>
      </w:tblGrid>
      <w:tr w:rsidR="0059298F" w:rsidRPr="005C3192" w:rsidTr="0053249E">
        <w:trPr>
          <w:trHeight w:val="210"/>
        </w:trPr>
        <w:tc>
          <w:tcPr>
            <w:tcW w:w="1074" w:type="dxa"/>
            <w:vAlign w:val="center"/>
          </w:tcPr>
          <w:bookmarkStart w:id="1" w:name="_heading=h.2uxtw84" w:colFirst="0" w:colLast="0"/>
          <w:bookmarkEnd w:id="1"/>
          <w:p w:rsidR="0059298F" w:rsidRPr="005C3192" w:rsidRDefault="00DA4B92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59"/>
                <w:id w:val="1945106970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類別</w:t>
                </w:r>
              </w:sdtContent>
            </w:sdt>
          </w:p>
        </w:tc>
        <w:tc>
          <w:tcPr>
            <w:tcW w:w="549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60"/>
                <w:id w:val="696740140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項次</w:t>
                </w:r>
              </w:sdtContent>
            </w:sdt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61"/>
                <w:id w:val="563450661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項目</w:t>
                </w:r>
              </w:sdtContent>
            </w:sdt>
          </w:p>
        </w:tc>
        <w:tc>
          <w:tcPr>
            <w:tcW w:w="1324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62"/>
                <w:id w:val="1270656788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檢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查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63"/>
                <w:id w:val="-52775097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結果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64"/>
                <w:id w:val="-2114979337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備註</w:t>
                </w:r>
              </w:sdtContent>
            </w:sdt>
          </w:p>
        </w:tc>
      </w:tr>
      <w:tr w:rsidR="0059298F" w:rsidRPr="005C3192" w:rsidTr="0053249E">
        <w:trPr>
          <w:trHeight w:val="302"/>
        </w:trPr>
        <w:tc>
          <w:tcPr>
            <w:tcW w:w="1074" w:type="dxa"/>
            <w:vMerge w:val="restart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65"/>
                <w:id w:val="-391270327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半戶外球場設計與隔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絕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要求</w:t>
                </w:r>
              </w:sdtContent>
            </w:sdt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66"/>
                <w:id w:val="1066988082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設置太陽能光電風雨球場，結構柱高起算點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為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屋頂下緣起算</w:t>
                </w:r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7公尺，且太陽能光電發電系統須完整覆蓋整個施作標的球場。</w:t>
                </w:r>
              </w:sdtContent>
            </w:sdt>
          </w:p>
        </w:tc>
        <w:tc>
          <w:tcPr>
            <w:tcW w:w="1324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67"/>
                <w:id w:val="-1024093185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68"/>
                <w:id w:val="-142433017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302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69"/>
                <w:id w:val="1500771593"/>
              </w:sdtPr>
              <w:sdtEndPr/>
              <w:sdtContent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為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考量屋頂洩水及太陽能光電板日照角度，建議屋頂設置斜率</w:t>
                </w:r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6~8度範圍內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為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佳。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70"/>
                <w:id w:val="-929123047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71"/>
                <w:id w:val="-756974263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265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72"/>
                <w:id w:val="-1119764402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裝設天花隔離網，預防球直接接觸太陽能板。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73"/>
                <w:id w:val="-667861687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74"/>
                <w:id w:val="1967543790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266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75"/>
                <w:id w:val="-819575482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每個球場結構支柱需包覆由地面起算，高度達2公尺防護墊（材質：EVA、厚度：30mm）。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76"/>
                <w:id w:val="-799609252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77"/>
                <w:id w:val="-1253199895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266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78"/>
                <w:id w:val="-768624603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重要機電位置加裝隔離圍欄，並設置危險告示。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79"/>
                <w:id w:val="-755591577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80"/>
                <w:id w:val="1245302042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81"/>
                <w:id w:val="-894513325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加裝設漏電斷路器，且需符合「用戶用電設備裝置規則」、「電工法規」等相關規定，並於施工完成後確認漏電斷路器使用功能正常。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82"/>
                <w:id w:val="323249999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83"/>
                <w:id w:val="-1917012265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84"/>
                <w:id w:val="-1120613204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相關線路接地標準應依「電工法規」或「用戶用電設備裝置規則」等規範施作。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85"/>
                <w:id w:val="1542634294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86"/>
                <w:id w:val="2083176557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87"/>
                <w:id w:val="-2019606838"/>
              </w:sdtPr>
              <w:sdtEndPr/>
              <w:sdtContent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為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避免場地濕滑，整體設計應達到防漏水。惟雨天是否可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教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學、提供民眾使用需視當天狀況而定。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88"/>
                <w:id w:val="231672298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89"/>
                <w:id w:val="-1308469611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 w:val="restart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90"/>
                <w:id w:val="-619921390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結構系統與組件設計</w:t>
                </w:r>
              </w:sdtContent>
            </w:sdt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right="96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91"/>
                <w:id w:val="-655232735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屋架結構：採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韌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性抗彎矩構架系統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為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地上</w:t>
                </w:r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1層鋼骨構造物。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92"/>
                <w:id w:val="-544130218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right="96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93"/>
                <w:id w:val="-1664003431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right="96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right="96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94"/>
                <w:id w:val="277613372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風雨球場結構以鋼構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為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主，亦可採用</w:t>
                </w:r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RC柱結合鋼構支柱。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95"/>
                <w:id w:val="1339973579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right="96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96"/>
                <w:id w:val="1257181356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right="96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right="96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97"/>
                <w:id w:val="-551623754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FF0000"/>
                    <w:kern w:val="0"/>
                    <w:sz w:val="28"/>
                    <w:szCs w:val="28"/>
                  </w:rPr>
                  <w:t>基礎型式（獨立基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  <w:t>腳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FF0000"/>
                    <w:kern w:val="0"/>
                    <w:sz w:val="28"/>
                    <w:szCs w:val="28"/>
                  </w:rPr>
                  <w:t>、聯合基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  <w:t>腳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FF0000"/>
                    <w:kern w:val="0"/>
                    <w:sz w:val="28"/>
                    <w:szCs w:val="28"/>
                  </w:rPr>
                  <w:t>、連續基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  <w:t>腳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FF0000"/>
                    <w:kern w:val="0"/>
                    <w:sz w:val="28"/>
                    <w:szCs w:val="28"/>
                  </w:rPr>
                  <w:t>或筏式基礎），設計時應視載重情況、地層條件及結構需求等選擇適用之基礎型式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98"/>
                <w:id w:val="517509786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right="96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99"/>
                <w:id w:val="87818158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right="96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right="96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00"/>
                <w:id w:val="614104968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基礎底面應先鋪設高度至少10公分的墊底混凝土(fc’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≧</w:t>
                </w:r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140kgf/cm2)後方可進行放樣及基礎版施工。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01"/>
                <w:id w:val="-646966976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right="96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02"/>
                <w:id w:val="85202686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right="96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right="96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03"/>
                <w:id w:val="1401098313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結結構設計應符合「建築物耐風設計規範及解說」之規定，惟依據「國有公用不動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產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設置太陽光電發電設備租賃契約書」訂定基本設計風速在</w:t>
                </w:r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32.5公尺/秒以下地區者，須採用32.5公尺/秒之平均風速作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為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基本設計風速，另若高於</w:t>
                </w:r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32.5公尺/秒地區者，須採用各地區之平均風速作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為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基本設計風速，並考量陣風反應因子（</w:t>
                </w:r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G），由專業技師分別提供結構計算書與各式連結(Connection)安全檢核文件。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04"/>
                <w:id w:val="88512093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right="96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05"/>
                <w:id w:val="-1004823655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right="96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06"/>
                <w:id w:val="-1839842245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結構設計是否依建築物耐風設計規範進行設計與檢核，其中用途係數（I），採 I=1.1（含）以上、陣風反應因子（G），採G=1.88（含）作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為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設計與計算基礎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07"/>
                <w:id w:val="-88016245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08"/>
                <w:id w:val="99072110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09"/>
                <w:id w:val="-898445712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結構設計應符合「建築物耐震設計規範及解說」之規定，其中用途係數（I），採I=1.25（含）以上作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為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設計與計算基礎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10"/>
                <w:id w:val="124137704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11"/>
                <w:id w:val="2098209314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12"/>
                <w:id w:val="-1017378518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螺絲組（包含螺絲、螺帽、平華司與彈簧華司等）是否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為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同一材質，可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為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熱浸鍍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鋅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或電鍍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鋅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材質或不銹鋼材質等抗腐蝕材質，並取得抗腐蝕品質測試報告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13"/>
                <w:id w:val="-779410317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14"/>
                <w:id w:val="-1930890151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15"/>
                <w:id w:val="1978644336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每一構件連結螺絲組是否包含抗腐蝕螺絲、至少 1 片彈簧華司、至少 2 片平板華司、至少 1 個抗腐蝕六角螺帽以及於六角螺帽上再套上 1 個抗腐蝕六角蓋型螺帽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16"/>
                <w:id w:val="-1170557836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17"/>
                <w:id w:val="767044929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 w:val="restart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18"/>
                <w:id w:val="1615409250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支撐架金屬基材耐腐蝕性能</w:t>
                </w:r>
              </w:sdtContent>
            </w:sdt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19"/>
                <w:id w:val="1991447114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支撐架材質的選擇，下列兩項選擇：</w:t>
                </w:r>
              </w:sdtContent>
            </w:sdt>
          </w:p>
          <w:p w:rsidR="0059298F" w:rsidRPr="005C3192" w:rsidRDefault="00DA4B92" w:rsidP="009246B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280" w:hanging="280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20"/>
                <w:id w:val="-11531406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若採用鋼構基材，應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為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一般結構用鋼材（如</w:t>
                </w:r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 ASTM A709、ASTM A36、A572 等）或冷軋鋼構材外加表面防蝕處理，或耐候鋼材（如 ASTM A588，CNS 4620，JIS G3114等）</w:t>
                </w:r>
              </w:sdtContent>
            </w:sdt>
          </w:p>
          <w:p w:rsidR="0059298F" w:rsidRPr="005C3192" w:rsidRDefault="00DA4B92" w:rsidP="009246B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280" w:hanging="280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21"/>
                <w:id w:val="1509480914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若採用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鋁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合金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鋁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擠型基材，其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鋁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合金材質應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為</w:t>
                </w:r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6005T5或6061T6以上之等級，並須符合結構安全要求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22"/>
                <w:id w:val="-1099258271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23"/>
                <w:id w:val="734432189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24"/>
                <w:id w:val="943964740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支撐架表面處理的選擇，下列兩項處理方式：</w:t>
                </w:r>
              </w:sdtContent>
            </w:sdt>
          </w:p>
          <w:p w:rsidR="0059298F" w:rsidRPr="005C3192" w:rsidRDefault="00DA4B92" w:rsidP="009246B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280" w:hanging="280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25"/>
                <w:id w:val="529540896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  <w:u w:val="single"/>
                  </w:rPr>
                  <w:t>鋼構</w:t>
                </w:r>
              </w:sdtContent>
            </w:sdt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26"/>
                <w:id w:val="1379899582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基材表面處理，須以設置地點符合 ISO  9223 之腐蝕環境分類等級，且至少以中度腐蝕（ISO  9223-C3)等級以上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為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處理基準，並以</w:t>
                </w:r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 20 年（含）以上抗腐蝕性能進行表面處理，並由專業機構提出施作說明與品質保證證明</w:t>
                </w:r>
              </w:sdtContent>
            </w:sdt>
          </w:p>
          <w:p w:rsidR="0059298F" w:rsidRPr="005C3192" w:rsidRDefault="00DA4B92" w:rsidP="009246B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280" w:hanging="280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27"/>
                <w:id w:val="549349676"/>
              </w:sdtPr>
              <w:sdtEndPr/>
              <w:sdtContent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鋁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合</w:t>
                </w:r>
              </w:sdtContent>
            </w:sdt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28"/>
                <w:id w:val="666837956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  <w:u w:val="single"/>
                  </w:rPr>
                  <w:t>金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  <w:u w:val="single"/>
                  </w:rPr>
                  <w:t>鋁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  <w:u w:val="single"/>
                  </w:rPr>
                  <w:t>擠型</w:t>
                </w:r>
              </w:sdtContent>
            </w:sdt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29"/>
                <w:id w:val="1760094153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基材表面處理，其表面處理方式採陽極處理厚度 14µm 以上及外加一層膜厚 7µm 以上之壓克力透明</w:t>
                </w:r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lastRenderedPageBreak/>
                  <w:t>漆之表面防蝕處理，除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鋁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擠型構材外的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鋁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合金板、小配件等之表面處理方式可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為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陽極處理厚度</w:t>
                </w:r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 xml:space="preserve"> 7µm 以上及外加一層膜厚 7µm 以上之壓克力透明漆，且皆需取得具有 TAF 認可之測試實驗室測試合格報告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30"/>
                <w:id w:val="2076621986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31"/>
                <w:id w:val="-382489027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32"/>
                <w:id w:val="-1046214068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依ISO 9224金屬材質的腐蝕速率進行防蝕設計，惟至少應以中度腐蝕（ISO 9223-C3）等級以上的腐蝕環境進行設計，由專業機構提出說明與品保證明，若縣市/學校處於C3腐蝕環境以上之等級，可參考臺灣腐蝕環境分類資訊系統/大氣腐蝕年報表，進行防腐蝕評估。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33"/>
                <w:id w:val="1527215553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34"/>
                <w:id w:val="-722219007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 w:val="restart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35"/>
                <w:id w:val="567159619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太陽光電模組</w:t>
                </w:r>
              </w:sdtContent>
            </w:sdt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36"/>
                <w:id w:val="-147125062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太陽光電模組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產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品須全數符合經濟部標檢局「台灣高效能太陽光電模組技術規範」自願性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產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品驗證及通過「太陽光電自願性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產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品驗證工廠檢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查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特定規範」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37"/>
                <w:id w:val="2129962687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38"/>
                <w:id w:val="1027680958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39"/>
                <w:id w:val="26914342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系統規格要求根據「用戶用電設備裝置規則」內太陽能系統專章。並另提出電機工程技師簽證。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40"/>
                <w:id w:val="1568688785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41"/>
                <w:id w:val="-560252314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42"/>
                <w:id w:val="-1188601042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太陽光電模組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鋁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框與鋼構材接觸位置是否加裝</w:t>
                </w:r>
              </w:sdtContent>
            </w:sdt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43"/>
                <w:id w:val="1150938165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FF0000"/>
                    <w:kern w:val="0"/>
                    <w:sz w:val="28"/>
                    <w:szCs w:val="28"/>
                  </w:rPr>
                  <w:t>具耐久性之有效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  <w:t>絕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FF0000"/>
                    <w:kern w:val="0"/>
                    <w:sz w:val="28"/>
                    <w:szCs w:val="28"/>
                  </w:rPr>
                  <w:t>緣墊片</w:t>
                </w:r>
              </w:sdtContent>
            </w:sdt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44"/>
                <w:id w:val="251321147"/>
              </w:sdtPr>
              <w:sdtEndPr/>
              <w:sdtContent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絕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緣墊片以隔開二者，避免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產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生電位差腐蝕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45"/>
                <w:id w:val="-1062007941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46"/>
                <w:id w:val="-1400980172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454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47"/>
                <w:id w:val="-559560469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螺絲組與太陽光電模組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鋁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框接觸處之平板華司下方應再加裝</w:t>
                </w:r>
              </w:sdtContent>
            </w:sdt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48"/>
                <w:id w:val="1001166718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FF0000"/>
                    <w:kern w:val="0"/>
                    <w:sz w:val="28"/>
                    <w:szCs w:val="28"/>
                  </w:rPr>
                  <w:t>具耐久性之有效</w:t>
                </w:r>
                <w:r w:rsidR="0059298F" w:rsidRPr="005C3192">
                  <w:rPr>
                    <w:rFonts w:ascii="標楷體" w:eastAsia="標楷體" w:hAnsi="標楷體" w:cs="新細明體" w:hint="eastAsia"/>
                    <w:color w:val="FF0000"/>
                    <w:kern w:val="0"/>
                    <w:sz w:val="28"/>
                    <w:szCs w:val="28"/>
                  </w:rPr>
                  <w:t>絕</w:t>
                </w:r>
                <w:r w:rsidR="0059298F" w:rsidRPr="005C3192">
                  <w:rPr>
                    <w:rFonts w:ascii="標楷體" w:eastAsia="標楷體" w:hAnsi="標楷體" w:cs="Gungsuh" w:hint="eastAsia"/>
                    <w:color w:val="FF0000"/>
                    <w:kern w:val="0"/>
                    <w:sz w:val="28"/>
                    <w:szCs w:val="28"/>
                  </w:rPr>
                  <w:t>緣墊片</w:t>
                </w:r>
              </w:sdtContent>
            </w:sdt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49"/>
                <w:id w:val="257415515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以隔開螺絲組及模組</w:t>
                </w:r>
                <w:r w:rsidR="0059298F" w:rsidRPr="005C3192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鋁</w:t>
                </w:r>
                <w:r w:rsidR="0059298F" w:rsidRPr="005C3192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框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50"/>
                <w:id w:val="-305404514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51"/>
                <w:id w:val="1526981524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9298F" w:rsidRPr="005C3192" w:rsidTr="0053249E">
        <w:trPr>
          <w:trHeight w:val="2000"/>
        </w:trPr>
        <w:tc>
          <w:tcPr>
            <w:tcW w:w="1074" w:type="dxa"/>
            <w:vMerge/>
            <w:vAlign w:val="center"/>
          </w:tcPr>
          <w:p w:rsidR="0059298F" w:rsidRPr="005C3192" w:rsidRDefault="0059298F" w:rsidP="0092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C319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7401" w:type="dxa"/>
            <w:vAlign w:val="center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52"/>
                <w:id w:val="234752695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單一模組與支撐架正面連結（上扣）及背部連結（下鎖）的固定組件共計需8個點以上。如太陽能光電模組距離屋頂面最高高度低於0.3公尺以下之系統，單一模組與支撐架正面連結（上扣）必須與3根支架組件（位於模組上中下側）連結固定，連結扣件共計需6組以上。</w:t>
                </w:r>
              </w:sdtContent>
            </w:sdt>
          </w:p>
        </w:tc>
        <w:tc>
          <w:tcPr>
            <w:tcW w:w="1324" w:type="dxa"/>
          </w:tcPr>
          <w:p w:rsidR="0059298F" w:rsidRPr="005C3192" w:rsidRDefault="00DA4B92" w:rsidP="009246BD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53"/>
                <w:id w:val="1240751063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是□</w:t>
                </w:r>
              </w:sdtContent>
            </w:sdt>
          </w:p>
          <w:p w:rsidR="0059298F" w:rsidRPr="005C3192" w:rsidRDefault="00DA4B92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354"/>
                <w:id w:val="-1867510461"/>
              </w:sdtPr>
              <w:sdtEndPr/>
              <w:sdtContent>
                <w:r w:rsidR="0059298F" w:rsidRPr="005C3192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否□</w:t>
                </w:r>
              </w:sdtContent>
            </w:sdt>
          </w:p>
        </w:tc>
        <w:tc>
          <w:tcPr>
            <w:tcW w:w="709" w:type="dxa"/>
          </w:tcPr>
          <w:p w:rsidR="0059298F" w:rsidRPr="005C3192" w:rsidRDefault="0059298F" w:rsidP="009246BD">
            <w:pPr>
              <w:widowControl/>
              <w:spacing w:line="44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59298F" w:rsidRPr="005C3192" w:rsidRDefault="00DA4B92" w:rsidP="009246BD">
      <w:pPr>
        <w:widowControl/>
        <w:spacing w:line="44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2355"/>
          <w:id w:val="322709550"/>
        </w:sdtPr>
        <w:sdtEndPr/>
        <w:sdtContent>
          <w:r w:rsidR="0059298F" w:rsidRPr="005C3192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註：檢驗結果須全部</w:t>
          </w:r>
          <w:r w:rsidR="0059298F" w:rsidRPr="005C3192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為</w:t>
          </w:r>
          <w:r w:rsidR="0059298F" w:rsidRPr="005C3192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是，若有否者，則需由得標廠商盡速修正，以完成檢驗</w:t>
          </w:r>
          <w:r w:rsidR="0059298F" w:rsidRPr="005C3192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。</w:t>
          </w:r>
        </w:sdtContent>
      </w:sdt>
    </w:p>
    <w:p w:rsidR="00CA43C5" w:rsidRPr="005C3192" w:rsidRDefault="00CA43C5">
      <w:pPr>
        <w:rPr>
          <w:rFonts w:ascii="標楷體" w:eastAsia="標楷體" w:hAnsi="標楷體"/>
        </w:rPr>
      </w:pPr>
    </w:p>
    <w:sectPr w:rsidR="00CA43C5" w:rsidRPr="005C3192">
      <w:pgSz w:w="11906" w:h="16838"/>
      <w:pgMar w:top="1134" w:right="1134" w:bottom="1134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92" w:rsidRDefault="00DA4B92" w:rsidP="009246BD">
      <w:r>
        <w:separator/>
      </w:r>
    </w:p>
  </w:endnote>
  <w:endnote w:type="continuationSeparator" w:id="0">
    <w:p w:rsidR="00DA4B92" w:rsidRDefault="00DA4B92" w:rsidP="009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92" w:rsidRDefault="00DA4B92" w:rsidP="009246BD">
      <w:r>
        <w:separator/>
      </w:r>
    </w:p>
  </w:footnote>
  <w:footnote w:type="continuationSeparator" w:id="0">
    <w:p w:rsidR="00DA4B92" w:rsidRDefault="00DA4B92" w:rsidP="0092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1C73"/>
    <w:multiLevelType w:val="multilevel"/>
    <w:tmpl w:val="3C3658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47E29"/>
    <w:multiLevelType w:val="multilevel"/>
    <w:tmpl w:val="7D9E86D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1"/>
    <w:rsid w:val="0002116A"/>
    <w:rsid w:val="0002155D"/>
    <w:rsid w:val="00033EEC"/>
    <w:rsid w:val="000F3AED"/>
    <w:rsid w:val="003E70D3"/>
    <w:rsid w:val="00423EED"/>
    <w:rsid w:val="005034C1"/>
    <w:rsid w:val="00531B06"/>
    <w:rsid w:val="0059298F"/>
    <w:rsid w:val="005C3192"/>
    <w:rsid w:val="005F33F7"/>
    <w:rsid w:val="008D4531"/>
    <w:rsid w:val="009246BD"/>
    <w:rsid w:val="009C2E86"/>
    <w:rsid w:val="00B112F0"/>
    <w:rsid w:val="00B71FEE"/>
    <w:rsid w:val="00BD3927"/>
    <w:rsid w:val="00C14945"/>
    <w:rsid w:val="00C1746C"/>
    <w:rsid w:val="00C659D7"/>
    <w:rsid w:val="00CA43C5"/>
    <w:rsid w:val="00CC5237"/>
    <w:rsid w:val="00D806D2"/>
    <w:rsid w:val="00D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E4C6D-5E98-47D3-96DD-A0566C61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46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4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46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58A88</dc:creator>
  <cp:keywords/>
  <dc:description/>
  <cp:lastModifiedBy>5A88</cp:lastModifiedBy>
  <cp:revision>3</cp:revision>
  <dcterms:created xsi:type="dcterms:W3CDTF">2021-07-06T08:33:00Z</dcterms:created>
  <dcterms:modified xsi:type="dcterms:W3CDTF">2021-07-06T09:40:00Z</dcterms:modified>
</cp:coreProperties>
</file>